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方正小标宋_GBK" w:cs="Times New Roman"/>
          <w:spacing w:val="-2"/>
          <w:sz w:val="44"/>
          <w:szCs w:val="44"/>
        </w:rPr>
      </w:pPr>
      <w:r>
        <w:rPr>
          <w:rFonts w:ascii="Times New Roman" w:hAnsi="Times New Roman" w:eastAsia="方正黑体_GBK" w:cs="Times New Roman"/>
          <w:sz w:val="32"/>
          <w:szCs w:val="32"/>
        </w:rPr>
        <w:t>附件1</w:t>
      </w:r>
      <w:bookmarkStart w:id="0" w:name="_GoBack"/>
      <w:bookmarkEnd w:id="0"/>
    </w:p>
    <w:p>
      <w:pPr>
        <w:spacing w:before="312" w:beforeLines="100" w:line="700" w:lineRule="exact"/>
        <w:jc w:val="center"/>
        <w:rPr>
          <w:rFonts w:ascii="Times New Roman" w:hAnsi="Times New Roman" w:eastAsia="方正小标宋_GBK" w:cs="Times New Roman"/>
          <w:spacing w:val="-2"/>
          <w:sz w:val="44"/>
          <w:szCs w:val="44"/>
        </w:rPr>
      </w:pPr>
      <w:r>
        <w:rPr>
          <w:rFonts w:ascii="Times New Roman" w:hAnsi="Times New Roman" w:eastAsia="方正小标宋_GBK" w:cs="Times New Roman"/>
          <w:spacing w:val="-2"/>
          <w:sz w:val="44"/>
          <w:szCs w:val="44"/>
        </w:rPr>
        <w:t>引进人才生活保障待遇政策口径说明</w:t>
      </w:r>
    </w:p>
    <w:p>
      <w:pPr>
        <w:spacing w:line="540" w:lineRule="exact"/>
        <w:ind w:firstLine="640" w:firstLineChars="200"/>
        <w:rPr>
          <w:rFonts w:ascii="Times New Roman" w:hAnsi="Times New Roman" w:eastAsia="方正仿宋_GBK" w:cs="Times New Roman"/>
          <w:sz w:val="32"/>
          <w:szCs w:val="32"/>
        </w:rPr>
      </w:pP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根据泗洪县委、县政府《关于深入实施“大湖英才”集聚计划的意见》规定，现就引进人才生活保障待遇政策口径作以下说明：</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 人才生活保障待遇政策享受对象不包括垂直管理单位引进人才。</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 机关事业单位引进人才是指通过公务员或事业单位公开招录（聘）程序到泗洪工作的人才，通过调动手续或政策安置来洪工作的不符合申报条件。</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 人才生活保障待遇中同类补贴具备两个及以上申报资格的，以享受最高补贴标准资格申报。</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4. 人才需与用人单位签订劳动（聘用）合同并缴纳企业职工养老保险或机关事业单位养老保险。</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5. 人才首次来洪就业时间从人才第一次在洪缴纳企业职工养老保险或机关事业单位养老保险时间计算。</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6. “双一流”本科以教育部、财政部、国家发展改革委最新公布的“双一流”建设高校及建设学科名单为准。</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7. 技师及以上职业技能等级需持有相应的职业技能等级证书，证书信息在技能人才评价证书全国联网查询系统（http://jndj.Osta.Org.cn）能够查询。</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8. 工业企业界定：由工信局提供工业企业名单库，如遇争议，以工信局认定为准。</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9. “医药类”专业参考补贴申报年度《江苏省考试录用公务员专业参考目录》中“医学类”和“药学类”专业范围。</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10. 人才来洪后购买住房，必须是在泗洪境内，房屋产权为人才本人所有、本人和配偶共同所有或本人与父母共同所有。房屋性质必须是住宅，商业、办公等其他性质房屋不在补贴范围。房屋必须是购买所得，继承、赠与取得房产不在补贴范围。夫妻共同购买且双方都符合申领条件的可叠加享受</w:t>
      </w:r>
      <w:r>
        <w:rPr>
          <w:rStyle w:val="5"/>
          <w:rFonts w:ascii="Times New Roman" w:hAnsi="Times New Roman" w:eastAsia="方正仿宋_GBK" w:cs="Times New Roman"/>
          <w:b w:val="0"/>
          <w:sz w:val="32"/>
          <w:szCs w:val="32"/>
          <w:shd w:val="clear" w:color="auto" w:fill="FFFFFF"/>
        </w:rPr>
        <w:t>（购房补贴兑现总额不超过房产成交金额）</w:t>
      </w:r>
      <w:r>
        <w:rPr>
          <w:rFonts w:ascii="Times New Roman" w:hAnsi="Times New Roman" w:eastAsia="方正仿宋_GBK" w:cs="Times New Roman"/>
          <w:sz w:val="32"/>
          <w:szCs w:val="32"/>
        </w:rPr>
        <w:t>。</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bCs/>
          <w:sz w:val="32"/>
          <w:szCs w:val="32"/>
        </w:rPr>
        <w:t>11.</w:t>
      </w:r>
      <w:r>
        <w:rPr>
          <w:rFonts w:ascii="Times New Roman" w:hAnsi="Times New Roman" w:eastAsia="方正仿宋_GBK" w:cs="Times New Roman"/>
          <w:b/>
          <w:sz w:val="32"/>
          <w:szCs w:val="32"/>
        </w:rPr>
        <w:t xml:space="preserve"> </w:t>
      </w:r>
      <w:r>
        <w:rPr>
          <w:rFonts w:ascii="Times New Roman" w:hAnsi="Times New Roman" w:eastAsia="方正仿宋_GBK" w:cs="Times New Roman"/>
          <w:bCs/>
          <w:sz w:val="32"/>
          <w:szCs w:val="32"/>
        </w:rPr>
        <w:t>购房补贴资金按5:3:2的比例分三年兑现到位</w:t>
      </w:r>
      <w:r>
        <w:rPr>
          <w:rStyle w:val="5"/>
          <w:rFonts w:ascii="Times New Roman" w:hAnsi="Times New Roman" w:eastAsia="方正仿宋_GBK" w:cs="Times New Roman"/>
          <w:b w:val="0"/>
          <w:sz w:val="32"/>
          <w:szCs w:val="32"/>
          <w:shd w:val="clear" w:color="auto" w:fill="FFFFFF"/>
        </w:rPr>
        <w:t>；岗位补贴、探亲补贴资金平均分三年兑现</w:t>
      </w:r>
      <w:r>
        <w:rPr>
          <w:rStyle w:val="5"/>
          <w:rFonts w:hint="eastAsia" w:eastAsia="方正仿宋_GBK" w:cs="Times New Roman"/>
          <w:b w:val="0"/>
          <w:sz w:val="32"/>
          <w:szCs w:val="32"/>
          <w:shd w:val="clear" w:color="auto" w:fill="FFFFFF"/>
          <w:lang w:val="en-US" w:eastAsia="zh-CN"/>
        </w:rPr>
        <w:t>到</w:t>
      </w:r>
      <w:r>
        <w:rPr>
          <w:rStyle w:val="5"/>
          <w:rFonts w:ascii="Times New Roman" w:hAnsi="Times New Roman" w:eastAsia="方正仿宋_GBK" w:cs="Times New Roman"/>
          <w:b w:val="0"/>
          <w:sz w:val="32"/>
          <w:szCs w:val="32"/>
          <w:shd w:val="clear" w:color="auto" w:fill="FFFFFF"/>
        </w:rPr>
        <w:t>位。</w:t>
      </w:r>
      <w:r>
        <w:rPr>
          <w:rFonts w:ascii="Times New Roman" w:hAnsi="Times New Roman" w:eastAsia="方正仿宋_GBK" w:cs="Times New Roman"/>
          <w:bCs/>
          <w:sz w:val="32"/>
          <w:szCs w:val="32"/>
        </w:rPr>
        <w:t>享受购房补贴的房产自购房之日起5年内不得变更产权所有人。</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12. 享受人才补贴人员中途离职，因岗位变化不符合补贴享受条件或离开我县工作的人才，还未兑现的补贴不再兑现。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MDA1ODgyY2M4ZjBhNDZhZDY4YWVkN2Y1OTc1YWYifQ=="/>
  </w:docVars>
  <w:rsids>
    <w:rsidRoot w:val="5CB6404A"/>
    <w:rsid w:val="5CB64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Strong"/>
    <w:basedOn w:val="4"/>
    <w:qFormat/>
    <w:uiPriority w:val="0"/>
    <w:rPr>
      <w:b/>
    </w:rPr>
  </w:style>
  <w:style w:type="character" w:styleId="6">
    <w:name w:val="page number"/>
    <w:basedOn w:val="4"/>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2023-08-01T10:03:00Z</dcterms:created>
  <dc:creator>常若楠</dc:creator>
  <cp:lastModifiedBy>常若楠</cp:lastModifiedBy>
  <dcterms:modified xsi:type="dcterms:W3CDTF">2023-08-01T10:06:44Z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EE6A1B9C431C4A859A4F0D471B44A58A_11</vt:lpwstr>
  </property>
</Properties>
</file>