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附件3</w:t>
      </w:r>
    </w:p>
    <w:p>
      <w:pPr>
        <w:jc w:val="center"/>
        <w:rPr>
          <w:rFonts w:ascii="Times New Roman" w:hAnsi="Times New Roman" w:cs="Times New Roman"/>
          <w:b/>
          <w:sz w:val="28"/>
        </w:rPr>
      </w:pPr>
      <w:bookmarkStart w:id="0" w:name="_Hlk141178933"/>
      <w:r>
        <w:rPr>
          <w:rFonts w:ascii="Times New Roman" w:hAnsi="Times New Roman" w:eastAsia="方正小标宋_GBK" w:cs="Times New Roman"/>
          <w:sz w:val="36"/>
          <w:szCs w:val="36"/>
        </w:rPr>
        <w:t>人才生活保障待遇标准</w:t>
      </w:r>
      <w:bookmarkEnd w:id="0"/>
      <w:r>
        <w:rPr>
          <w:rFonts w:ascii="Times New Roman" w:hAnsi="Times New Roman" w:eastAsia="方正小标宋_GBK" w:cs="Times New Roman"/>
          <w:sz w:val="36"/>
          <w:szCs w:val="36"/>
        </w:rPr>
        <w:t>（购房补贴）</w:t>
      </w:r>
    </w:p>
    <w:p>
      <w:pPr>
        <w:widowControl/>
        <w:ind w:firstLine="378" w:firstLineChars="18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注：人才生活保障待遇标准就高填报。</w:t>
      </w:r>
    </w:p>
    <w:tbl>
      <w:tblPr>
        <w:tblStyle w:val="2"/>
        <w:tblpPr w:leftFromText="180" w:rightFromText="180" w:vertAnchor="page" w:horzAnchor="margin" w:tblpXSpec="center" w:tblpY="2896"/>
        <w:tblW w:w="8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469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  <w:t>人才类别序号</w:t>
            </w:r>
          </w:p>
        </w:tc>
        <w:tc>
          <w:tcPr>
            <w:tcW w:w="4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 w:val="24"/>
              </w:rPr>
              <w:t>人才类别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  <w:t>购房补贴标准</w:t>
            </w:r>
          </w:p>
          <w:p>
            <w:pPr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  <w:t>(万元/人)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4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普通本科生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102</w:t>
            </w:r>
          </w:p>
        </w:tc>
        <w:tc>
          <w:tcPr>
            <w:tcW w:w="4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“双一流”本科生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103</w:t>
            </w:r>
          </w:p>
        </w:tc>
        <w:tc>
          <w:tcPr>
            <w:tcW w:w="4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104</w:t>
            </w:r>
          </w:p>
        </w:tc>
        <w:tc>
          <w:tcPr>
            <w:tcW w:w="4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博士研究生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105</w:t>
            </w:r>
          </w:p>
        </w:tc>
        <w:tc>
          <w:tcPr>
            <w:tcW w:w="4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技师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106</w:t>
            </w:r>
          </w:p>
        </w:tc>
        <w:tc>
          <w:tcPr>
            <w:tcW w:w="4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高级技师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107</w:t>
            </w:r>
          </w:p>
        </w:tc>
        <w:tc>
          <w:tcPr>
            <w:tcW w:w="4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中级职称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108</w:t>
            </w:r>
          </w:p>
        </w:tc>
        <w:tc>
          <w:tcPr>
            <w:tcW w:w="4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高级职称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109</w:t>
            </w:r>
          </w:p>
        </w:tc>
        <w:tc>
          <w:tcPr>
            <w:tcW w:w="4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正高级职称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  <w:color w:val="333333"/>
                <w:kern w:val="0"/>
                <w:szCs w:val="21"/>
              </w:rPr>
              <w:t>30</w:t>
            </w:r>
          </w:p>
        </w:tc>
      </w:tr>
    </w:tbl>
    <w:p>
      <w:pPr>
        <w:spacing w:line="600" w:lineRule="exact"/>
        <w:ind w:right="160"/>
        <w:jc w:val="center"/>
        <w:rPr>
          <w:rFonts w:ascii="Times New Roman" w:hAnsi="Times New Roman" w:eastAsia="方正小标宋_GBK" w:cs="Times New Roman"/>
          <w:sz w:val="36"/>
          <w:szCs w:val="36"/>
        </w:rPr>
      </w:pPr>
    </w:p>
    <w:p>
      <w:pPr>
        <w:rPr>
          <w:rFonts w:ascii="Times New Roman" w:hAnsi="Times New Roman" w:cs="Times New Roman"/>
          <w:b/>
          <w:sz w:val="28"/>
        </w:rPr>
        <w:sectPr>
          <w:pgSz w:w="11906" w:h="16838"/>
          <w:pgMar w:top="1276" w:right="1531" w:bottom="1135" w:left="1531" w:header="709" w:footer="709" w:gutter="0"/>
          <w:cols w:space="720" w:num="1"/>
          <w:docGrid w:type="lines" w:linePitch="360" w:charSpace="0"/>
        </w:sectPr>
      </w:pPr>
      <w:r>
        <w:rPr>
          <w:rFonts w:ascii="Times New Roman" w:hAnsi="Times New Roman" w:eastAsia="方正小标宋_GBK" w:cs="Times New Roman"/>
          <w:sz w:val="36"/>
          <w:szCs w:val="36"/>
        </w:rPr>
        <w:br w:type="page"/>
      </w:r>
    </w:p>
    <w:p>
      <w:pPr>
        <w:spacing w:line="600" w:lineRule="exact"/>
        <w:ind w:right="160"/>
        <w:jc w:val="center"/>
        <w:rPr>
          <w:rFonts w:ascii="Times New Roman" w:hAnsi="Times New Roman" w:eastAsia="方正小标宋_GBK" w:cs="Times New Roman"/>
          <w:sz w:val="36"/>
          <w:szCs w:val="36"/>
        </w:rPr>
      </w:pPr>
    </w:p>
    <w:p>
      <w:pPr>
        <w:spacing w:line="600" w:lineRule="exact"/>
        <w:ind w:right="55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人才生活保障待遇标准（岗位补贴）</w:t>
      </w:r>
    </w:p>
    <w:tbl>
      <w:tblPr>
        <w:tblStyle w:val="2"/>
        <w:tblpPr w:leftFromText="180" w:rightFromText="180" w:vertAnchor="page" w:horzAnchor="margin" w:tblpXSpec="center" w:tblpY="2791"/>
        <w:tblW w:w="84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9"/>
        <w:gridCol w:w="1701"/>
        <w:gridCol w:w="354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  <w:t>人才类别序号</w:t>
            </w:r>
          </w:p>
        </w:tc>
        <w:tc>
          <w:tcPr>
            <w:tcW w:w="5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 w:val="24"/>
              </w:rPr>
              <w:t>人才类别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  <w:t>岗位补贴标准</w:t>
            </w:r>
          </w:p>
          <w:p>
            <w:pPr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  <w:t>(万元/人)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201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企业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“双一流”本科生𬊼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202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203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博士研究生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204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工业企业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普通本科生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205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“双一流”本科生𬊼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206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207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博士研究生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208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技师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209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高级技师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210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学校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高中学段师范类普通本科生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211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“双一流”本科生𬊼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212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213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博士研究生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214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高级职称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215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正高级职称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216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医院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  <w:highlight w:val="yellow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医药类普通本科生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217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“双一流”本科生𬊼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218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硕士研究生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219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博士研究生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220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中级职称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221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高级职称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222</w:t>
            </w: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正高级职称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15</w:t>
            </w:r>
          </w:p>
        </w:tc>
      </w:tr>
    </w:tbl>
    <w:p>
      <w:pPr>
        <w:widowControl/>
        <w:ind w:firstLine="140" w:firstLineChars="67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注：人才生活保障待遇标准就高填报。</w:t>
      </w:r>
    </w:p>
    <w:p>
      <w:pPr>
        <w:spacing w:line="600" w:lineRule="exact"/>
        <w:ind w:right="160"/>
        <w:jc w:val="center"/>
        <w:rPr>
          <w:rFonts w:ascii="Times New Roman" w:hAnsi="Times New Roman" w:eastAsia="方正小标宋_GBK" w:cs="Times New Roman"/>
          <w:sz w:val="36"/>
          <w:szCs w:val="36"/>
        </w:rPr>
      </w:pPr>
    </w:p>
    <w:tbl>
      <w:tblPr>
        <w:tblStyle w:val="2"/>
        <w:tblpPr w:leftFromText="180" w:rightFromText="180" w:vertAnchor="page" w:horzAnchor="margin" w:tblpXSpec="center" w:tblpY="2836"/>
        <w:tblW w:w="84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992"/>
        <w:gridCol w:w="1134"/>
        <w:gridCol w:w="326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  <w:t>人才类别序号</w:t>
            </w: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 w:val="24"/>
              </w:rPr>
              <w:t>人才类别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  <w:t>探亲补贴标准</w:t>
            </w:r>
          </w:p>
          <w:p>
            <w:pPr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color w:val="333333"/>
                <w:kern w:val="0"/>
                <w:szCs w:val="21"/>
              </w:rPr>
              <w:t>(万元/人)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301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企业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省外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户籍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302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303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304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省内市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外户籍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305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306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307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学校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省外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户籍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308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309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310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省内市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外户籍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311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312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313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医院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省外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户籍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314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315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316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省内市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外户籍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本科及以上𬊼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317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技师及以上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318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中级职称及以上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color w:val="333333"/>
                <w:kern w:val="0"/>
                <w:szCs w:val="21"/>
              </w:rPr>
              <w:t>0.3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452A16CA"/>
    <w:rsid w:val="452A1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2023-08-01T10:03:00Z</dcterms:created>
  <dc:creator>常若楠</dc:creator>
  <cp:lastModifiedBy>常若楠</cp:lastModifiedBy>
  <dcterms:modified xsi:type="dcterms:W3CDTF">2023-08-01T10:08:09Z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18A54462112D415E874F8FCEA8D69A69_11</vt:lpwstr>
  </property>
</Properties>
</file>